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F2CC" w14:textId="77777777" w:rsidR="00C37B3F" w:rsidRPr="00C37B3F" w:rsidRDefault="00C37B3F" w:rsidP="00C37B3F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Antivibrační tlumící rohož (deska) z granulátu FLOMA </w:t>
      </w:r>
      <w:proofErr w:type="spellStart"/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UniPad</w:t>
      </w:r>
      <w:proofErr w:type="spellEnd"/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</w:t>
      </w:r>
      <w:proofErr w:type="gramStart"/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>S650 - délka</w:t>
      </w:r>
      <w:proofErr w:type="gramEnd"/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36"/>
          <w:szCs w:val="36"/>
          <w:lang w:eastAsia="cs-CZ"/>
          <w14:ligatures w14:val="none"/>
        </w:rPr>
        <w:t xml:space="preserve"> 200 cm, šířka 100 cm a výška 3 cm</w:t>
      </w:r>
    </w:p>
    <w:p w14:paraId="7A2F6621" w14:textId="77777777" w:rsidR="00C37B3F" w:rsidRPr="00C37B3F" w:rsidRDefault="00C37B3F" w:rsidP="00C37B3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Antivibrační tlumící rohož FLOMA S650</w:t>
      </w: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 je </w:t>
      </w:r>
      <w:proofErr w:type="spellStart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deska vyrobena ze směsi </w:t>
      </w:r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pryžového granulátu SBR</w:t>
      </w: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a </w:t>
      </w:r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polyuretanového pojiva.</w:t>
      </w: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Díky tomuto složení perfektně slouží jako ochrana proti chvění, vibracím a také jako izolace budov, vozovek, pilířů a nosníků.</w:t>
      </w:r>
    </w:p>
    <w:p w14:paraId="076E0118" w14:textId="77777777" w:rsidR="00C37B3F" w:rsidRPr="00C37B3F" w:rsidRDefault="00C37B3F" w:rsidP="00C37B3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Svými vlastnostmi výrazně zvyšuje odolnost stavebních konstrukcí </w:t>
      </w:r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vůči namáhání a otřesům</w:t>
      </w: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. Nejčastější využití tato rohož nalezne ve stavebnictví, zásluhou své praktičnosti však nalezne uplatnění i jako gumová podložka do hal a tělocvičen, obložení střelnic nebo jako podkladová, dilatační, dělící a protiskluzová deska. Tato tlumící rohož není vhodná jako finální vrstva podlahy.</w:t>
      </w:r>
    </w:p>
    <w:p w14:paraId="222CA7FF" w14:textId="5E6BF94B" w:rsidR="00C37B3F" w:rsidRPr="00C37B3F" w:rsidRDefault="00C37B3F" w:rsidP="00C37B3F">
      <w:p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U tohoto typu S650 proběhly specifické technické zkoušky a splňuje určité certifikace</w:t>
      </w:r>
    </w:p>
    <w:p w14:paraId="2635B6E8" w14:textId="77777777" w:rsidR="00C37B3F" w:rsidRPr="00C37B3F" w:rsidRDefault="00C37B3F" w:rsidP="00C37B3F">
      <w:pPr>
        <w:spacing w:after="168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 rohož si v případě potřeby můžete nařezat do požadovaného rozměru za pomocí odlamovacího nože, případně jakýmkoliv ostrým nožem.</w:t>
      </w:r>
    </w:p>
    <w:p w14:paraId="7CAC9654" w14:textId="77777777" w:rsidR="00C37B3F" w:rsidRPr="00C37B3F" w:rsidRDefault="00C37B3F" w:rsidP="00C37B3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Nejčastější použití</w:t>
      </w:r>
    </w:p>
    <w:p w14:paraId="0410189E" w14:textId="77777777" w:rsidR="00C37B3F" w:rsidRPr="00C37B3F" w:rsidRDefault="00C37B3F" w:rsidP="00C37B3F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 tlumící, protihluková a antivibrační deska</w:t>
      </w:r>
    </w:p>
    <w:p w14:paraId="788D21DD" w14:textId="77777777" w:rsidR="00C37B3F" w:rsidRPr="00C37B3F" w:rsidRDefault="00C37B3F" w:rsidP="00C37B3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izolace budov, vozovek, pilířů a nosníků, uložení průmyslových strojů</w:t>
      </w:r>
    </w:p>
    <w:p w14:paraId="59590B87" w14:textId="77777777" w:rsidR="00C37B3F" w:rsidRPr="00C37B3F" w:rsidRDefault="00C37B3F" w:rsidP="00C37B3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podkladová, dilatační, dělící a protiskluzová deska</w:t>
      </w:r>
    </w:p>
    <w:p w14:paraId="481C17C7" w14:textId="77777777" w:rsidR="00C37B3F" w:rsidRPr="00C37B3F" w:rsidRDefault="00C37B3F" w:rsidP="00C37B3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gumová podložka pod sportovní systémy do hal a tělocvičen</w:t>
      </w:r>
    </w:p>
    <w:p w14:paraId="78C9100C" w14:textId="77777777" w:rsidR="00C37B3F" w:rsidRPr="00C37B3F" w:rsidRDefault="00C37B3F" w:rsidP="00C37B3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elastomerické</w:t>
      </w:r>
      <w:proofErr w:type="spellEnd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rohože, </w:t>
      </w:r>
      <w:proofErr w:type="spellStart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podštěrkové</w:t>
      </w:r>
      <w:proofErr w:type="spellEnd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 rohože</w:t>
      </w:r>
    </w:p>
    <w:p w14:paraId="547985A2" w14:textId="77777777" w:rsidR="00C37B3F" w:rsidRPr="00C37B3F" w:rsidRDefault="00C37B3F" w:rsidP="00C37B3F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obložení střelnic</w:t>
      </w:r>
    </w:p>
    <w:p w14:paraId="550879A2" w14:textId="77777777" w:rsidR="00C37B3F" w:rsidRPr="00C37B3F" w:rsidRDefault="00C37B3F" w:rsidP="00C37B3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Vlastnosti</w:t>
      </w:r>
    </w:p>
    <w:p w14:paraId="412F1744" w14:textId="77777777" w:rsidR="00C37B3F" w:rsidRPr="00C37B3F" w:rsidRDefault="00C37B3F" w:rsidP="00C37B3F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antivibrační, tlumící a protihluková</w:t>
      </w:r>
    </w:p>
    <w:p w14:paraId="469C5642" w14:textId="77777777" w:rsidR="00C37B3F" w:rsidRPr="00C37B3F" w:rsidRDefault="00C37B3F" w:rsidP="00C37B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dělící, dilatační a podkladová</w:t>
      </w:r>
    </w:p>
    <w:p w14:paraId="76A5F18C" w14:textId="77777777" w:rsidR="00C37B3F" w:rsidRPr="00C37B3F" w:rsidRDefault="00C37B3F" w:rsidP="00C37B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proofErr w:type="spellStart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elastomerická</w:t>
      </w:r>
      <w:proofErr w:type="spellEnd"/>
    </w:p>
    <w:p w14:paraId="57308450" w14:textId="77777777" w:rsidR="00C37B3F" w:rsidRPr="00C37B3F" w:rsidRDefault="00C37B3F" w:rsidP="00C37B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protiskluzová</w:t>
      </w:r>
    </w:p>
    <w:p w14:paraId="7B50E606" w14:textId="77777777" w:rsidR="00C37B3F" w:rsidRPr="00C37B3F" w:rsidRDefault="00C37B3F" w:rsidP="00C37B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univerzální</w:t>
      </w:r>
    </w:p>
    <w:p w14:paraId="699562C6" w14:textId="77777777" w:rsidR="00C37B3F" w:rsidRPr="00C37B3F" w:rsidRDefault="00C37B3F" w:rsidP="00C37B3F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odolné vůči vlhkosti, teplotě, prašnosti</w:t>
      </w:r>
    </w:p>
    <w:p w14:paraId="22FB23AB" w14:textId="77777777" w:rsidR="00C37B3F" w:rsidRPr="00C37B3F" w:rsidRDefault="00C37B3F" w:rsidP="00C37B3F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b/>
          <w:bCs/>
          <w:color w:val="111111"/>
          <w:kern w:val="0"/>
          <w:sz w:val="27"/>
          <w:szCs w:val="27"/>
          <w:lang w:eastAsia="cs-CZ"/>
          <w14:ligatures w14:val="none"/>
        </w:rPr>
        <w:t>Technické údaje</w:t>
      </w:r>
    </w:p>
    <w:p w14:paraId="17941384" w14:textId="77777777" w:rsidR="00C37B3F" w:rsidRPr="00C37B3F" w:rsidRDefault="00C37B3F" w:rsidP="00C37B3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materiál: gumový SBR granulát a polyuretanové pojivo</w:t>
      </w:r>
    </w:p>
    <w:p w14:paraId="26BD71DE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lastRenderedPageBreak/>
        <w:t>barva: černá</w:t>
      </w:r>
    </w:p>
    <w:p w14:paraId="4CC60CFE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délka: 2 m</w:t>
      </w:r>
    </w:p>
    <w:p w14:paraId="64ED40B7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šířka: 1 m</w:t>
      </w:r>
    </w:p>
    <w:p w14:paraId="7CD8A184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výška: 3 cm</w:t>
      </w:r>
    </w:p>
    <w:p w14:paraId="1DB93A85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hmotnost: 39 kg</w:t>
      </w:r>
    </w:p>
    <w:p w14:paraId="6606B3A4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hmotnost desky: 650 kg/m³</w:t>
      </w:r>
    </w:p>
    <w:p w14:paraId="2A2684AE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tahu: 0,4 </w:t>
      </w:r>
      <w:proofErr w:type="spellStart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22BCC27B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tažnost: 41 %</w:t>
      </w:r>
    </w:p>
    <w:p w14:paraId="3E7DB629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pevnost v tahu po uložení v oleji: 0,1 </w:t>
      </w:r>
      <w:proofErr w:type="spellStart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77C215B0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pevnosti v tahu po uložení v oleji: - 75 %</w:t>
      </w:r>
    </w:p>
    <w:p w14:paraId="6BC6F61F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tažnost po uložení v oleji: 18 %</w:t>
      </w:r>
    </w:p>
    <w:p w14:paraId="4ADD06C3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změna tažnosti po uložení v oleji: -56 %</w:t>
      </w:r>
    </w:p>
    <w:p w14:paraId="1C59384A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nasákavost vodou: 18 %</w:t>
      </w:r>
    </w:p>
    <w:p w14:paraId="25D1335F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statický modul přetvárnosti: 12 </w:t>
      </w:r>
      <w:proofErr w:type="spellStart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MPa</w:t>
      </w:r>
      <w:proofErr w:type="spellEnd"/>
    </w:p>
    <w:p w14:paraId="65AC77BC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statická plošná tuhost: 0,09 N.mm³</w:t>
      </w:r>
    </w:p>
    <w:p w14:paraId="247A584A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odolnost proti cyklickému zmrazování a rozmrazování: 0,88</w:t>
      </w:r>
    </w:p>
    <w:p w14:paraId="0499E56E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dlouhodobá teplotní stabilita: -30 až +80 °C</w:t>
      </w:r>
    </w:p>
    <w:p w14:paraId="1F035892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délková tolerance: ± 1,5 % (980-2000 mm)</w:t>
      </w:r>
    </w:p>
    <w:p w14:paraId="5E69A7F0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objemová tolerance: ± 5 %</w:t>
      </w:r>
    </w:p>
    <w:p w14:paraId="165C864B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 mm (8-20 mm)</w:t>
      </w:r>
    </w:p>
    <w:p w14:paraId="7698B87F" w14:textId="77777777" w:rsidR="00C37B3F" w:rsidRPr="00C37B3F" w:rsidRDefault="00C37B3F" w:rsidP="00C37B3F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tloušťková tolerance: ± 1,5 mm (21-60 mm)</w:t>
      </w:r>
    </w:p>
    <w:p w14:paraId="5BEAC464" w14:textId="77777777" w:rsidR="00C37B3F" w:rsidRPr="00C37B3F" w:rsidRDefault="00C37B3F" w:rsidP="00C37B3F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</w:pPr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 xml:space="preserve">reakce na oheň: </w:t>
      </w:r>
      <w:proofErr w:type="spellStart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E</w:t>
      </w:r>
      <w:r w:rsidRPr="00C37B3F">
        <w:rPr>
          <w:rFonts w:ascii="Open Sans" w:eastAsia="Times New Roman" w:hAnsi="Open Sans" w:cs="Open Sans"/>
          <w:color w:val="111111"/>
          <w:kern w:val="0"/>
          <w:sz w:val="16"/>
          <w:szCs w:val="16"/>
          <w:bdr w:val="none" w:sz="0" w:space="0" w:color="auto" w:frame="1"/>
          <w:vertAlign w:val="subscript"/>
          <w:lang w:eastAsia="cs-CZ"/>
          <w14:ligatures w14:val="none"/>
        </w:rPr>
        <w:t>fl</w:t>
      </w:r>
      <w:proofErr w:type="spellEnd"/>
      <w:r w:rsidRPr="00C37B3F">
        <w:rPr>
          <w:rFonts w:ascii="Open Sans" w:eastAsia="Times New Roman" w:hAnsi="Open Sans" w:cs="Open Sans"/>
          <w:color w:val="111111"/>
          <w:kern w:val="0"/>
          <w:sz w:val="24"/>
          <w:szCs w:val="24"/>
          <w:lang w:eastAsia="cs-CZ"/>
          <w14:ligatures w14:val="none"/>
        </w:rPr>
        <w:t> (ČSN EN 13501-1 + A1)</w:t>
      </w:r>
    </w:p>
    <w:p w14:paraId="421B7E7D" w14:textId="77777777" w:rsidR="002E0B2B" w:rsidRDefault="002E0B2B"/>
    <w:sectPr w:rsidR="002E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AC1"/>
    <w:multiLevelType w:val="multilevel"/>
    <w:tmpl w:val="EBFCE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F083D"/>
    <w:multiLevelType w:val="multilevel"/>
    <w:tmpl w:val="577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BD5C8D"/>
    <w:multiLevelType w:val="multilevel"/>
    <w:tmpl w:val="D33C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7049289">
    <w:abstractNumId w:val="0"/>
  </w:num>
  <w:num w:numId="2" w16cid:durableId="1920795135">
    <w:abstractNumId w:val="1"/>
  </w:num>
  <w:num w:numId="3" w16cid:durableId="402483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3F"/>
    <w:rsid w:val="002E0B2B"/>
    <w:rsid w:val="0045619F"/>
    <w:rsid w:val="00C37B3F"/>
    <w:rsid w:val="00C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7F2A"/>
  <w15:chartTrackingRefBased/>
  <w15:docId w15:val="{0BA12AB6-F1AD-4E14-8F21-6A60A60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49D"/>
  </w:style>
  <w:style w:type="paragraph" w:styleId="Nadpis1">
    <w:name w:val="heading 1"/>
    <w:basedOn w:val="Normln"/>
    <w:next w:val="Normln"/>
    <w:link w:val="Nadpis1Char"/>
    <w:uiPriority w:val="9"/>
    <w:qFormat/>
    <w:rsid w:val="0045619F"/>
    <w:pPr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619F"/>
    <w:pPr>
      <w:outlineLvl w:val="1"/>
    </w:pPr>
    <w:rPr>
      <w:b/>
      <w:bCs/>
    </w:rPr>
  </w:style>
  <w:style w:type="paragraph" w:styleId="Nadpis3">
    <w:name w:val="heading 3"/>
    <w:basedOn w:val="Normln"/>
    <w:link w:val="Nadpis3Char"/>
    <w:uiPriority w:val="9"/>
    <w:qFormat/>
    <w:rsid w:val="00C37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5619F"/>
    <w:rPr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5619F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C37B3F"/>
    <w:rPr>
      <w:rFonts w:ascii="Times New Roman" w:eastAsia="Times New Roman" w:hAnsi="Times New Roman" w:cs="Times New Roman"/>
      <w:b/>
      <w:bCs/>
      <w:kern w:val="0"/>
      <w:sz w:val="27"/>
      <w:szCs w:val="27"/>
      <w:lang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C3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C37B3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37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</dc:creator>
  <cp:keywords/>
  <dc:description/>
  <cp:lastModifiedBy>Stanislav Barth</cp:lastModifiedBy>
  <cp:revision>1</cp:revision>
  <dcterms:created xsi:type="dcterms:W3CDTF">2023-11-24T13:12:00Z</dcterms:created>
  <dcterms:modified xsi:type="dcterms:W3CDTF">2023-11-24T13:13:00Z</dcterms:modified>
</cp:coreProperties>
</file>